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0AC" w:rsidRPr="00CF796C" w:rsidRDefault="002750AC" w:rsidP="002750AC">
      <w:pPr>
        <w:pStyle w:val="ConsPlusNormal"/>
        <w:suppressAutoHyphens/>
        <w:ind w:firstLine="0"/>
        <w:jc w:val="center"/>
        <w:rPr>
          <w:rFonts w:ascii="Times New Roman" w:hAnsi="Times New Roman" w:cs="Times New Roman"/>
          <w:b/>
        </w:rPr>
      </w:pPr>
      <w:bookmarkStart w:id="0" w:name="_GoBack"/>
      <w:r w:rsidRPr="00CF796C">
        <w:rPr>
          <w:rFonts w:ascii="Times New Roman" w:hAnsi="Times New Roman" w:cs="Times New Roman"/>
          <w:b/>
        </w:rPr>
        <w:t>Перечень видов решений по объекту капитального строительства</w:t>
      </w:r>
      <w:bookmarkEnd w:id="0"/>
    </w:p>
    <w:p w:rsidR="002750AC" w:rsidRPr="00CF796C" w:rsidRDefault="002750AC" w:rsidP="002750AC">
      <w:pPr>
        <w:pStyle w:val="ConsPlusNormal"/>
        <w:suppressAutoHyphens/>
        <w:ind w:firstLine="567"/>
        <w:jc w:val="both"/>
        <w:rPr>
          <w:rFonts w:ascii="Times New Roman" w:hAnsi="Times New Roman" w:cs="Times New Roman"/>
        </w:rPr>
      </w:pPr>
    </w:p>
    <w:p w:rsidR="002750AC" w:rsidRPr="00CF796C" w:rsidRDefault="002750AC" w:rsidP="002750AC">
      <w:pPr>
        <w:pStyle w:val="ConsPlusNormal"/>
        <w:suppressAutoHyphens/>
        <w:ind w:firstLine="567"/>
        <w:jc w:val="both"/>
        <w:rPr>
          <w:rFonts w:ascii="Times New Roman" w:hAnsi="Times New Roman" w:cs="Times New Roman"/>
        </w:rPr>
      </w:pPr>
      <w:r w:rsidRPr="00CF796C">
        <w:rPr>
          <w:rFonts w:ascii="Times New Roman" w:hAnsi="Times New Roman" w:cs="Times New Roman"/>
        </w:rPr>
        <w:t xml:space="preserve">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w:t>
      </w:r>
      <w:r w:rsidRPr="00CF796C">
        <w:rPr>
          <w:rFonts w:ascii="Times New Roman" w:hAnsi="Times New Roman" w:cs="Times New Roman"/>
        </w:rPr>
        <w:br/>
        <w:t>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2750AC" w:rsidRPr="00CF796C" w:rsidRDefault="002750AC" w:rsidP="002750AC">
      <w:pPr>
        <w:pStyle w:val="ConsPlusNormal"/>
        <w:suppressAutoHyphens/>
        <w:ind w:firstLine="567"/>
        <w:jc w:val="both"/>
        <w:rPr>
          <w:rFonts w:ascii="Times New Roman" w:hAnsi="Times New Roman" w:cs="Times New Roman"/>
        </w:rPr>
      </w:pPr>
      <w:r w:rsidRPr="00CF796C">
        <w:rPr>
          <w:rFonts w:ascii="Times New Roman" w:hAnsi="Times New Roman" w:cs="Times New Roman"/>
        </w:rPr>
        <w:t xml:space="preserve">В отношении объектов капитального строительства юридических лиц, не являющихся государственными или муниципальными учреждениями и государственными </w:t>
      </w:r>
      <w:r w:rsidRPr="00CF796C">
        <w:rPr>
          <w:rFonts w:ascii="Times New Roman" w:hAnsi="Times New Roman" w:cs="Times New Roman"/>
        </w:rPr>
        <w:br/>
        <w:t xml:space="preserve">или муниципальными унитарными предприятиями, включая государственные компании </w:t>
      </w:r>
      <w:r w:rsidRPr="00CF796C">
        <w:rPr>
          <w:rFonts w:ascii="Times New Roman" w:hAnsi="Times New Roman" w:cs="Times New Roman"/>
        </w:rPr>
        <w:br/>
        <w:t>и корпорации, строительство, реконструкция которых финансируется с привлечением средств бюджетов бюджетной системы Российской Федерации, - нормативный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абзацем вторым пункта 8 статьи 78, пунктом 2 статьи 78.3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2750AC" w:rsidRPr="00CF796C" w:rsidRDefault="002750AC" w:rsidP="002750AC">
      <w:pPr>
        <w:pStyle w:val="ConsPlusNormal"/>
        <w:suppressAutoHyphens/>
        <w:ind w:firstLine="567"/>
        <w:jc w:val="both"/>
        <w:rPr>
          <w:rFonts w:ascii="Times New Roman" w:hAnsi="Times New Roman" w:cs="Times New Roman"/>
        </w:rPr>
      </w:pPr>
      <w:r w:rsidRPr="00CF796C">
        <w:rPr>
          <w:rFonts w:ascii="Times New Roman" w:hAnsi="Times New Roman" w:cs="Times New Roman"/>
        </w:rPr>
        <w:t xml:space="preserve">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w:t>
      </w:r>
      <w:r w:rsidRPr="00CF796C">
        <w:rPr>
          <w:rFonts w:ascii="Times New Roman" w:hAnsi="Times New Roman" w:cs="Times New Roman"/>
        </w:rPr>
        <w:br/>
        <w:t>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p w:rsidR="002750AC" w:rsidRPr="00CF796C" w:rsidRDefault="002750AC" w:rsidP="002750AC">
      <w:pPr>
        <w:pStyle w:val="ConsPlusNormal"/>
        <w:suppressAutoHyphens/>
        <w:ind w:firstLine="567"/>
        <w:jc w:val="both"/>
        <w:rPr>
          <w:rFonts w:ascii="Times New Roman" w:hAnsi="Times New Roman" w:cs="Times New Roman"/>
        </w:rPr>
      </w:pPr>
      <w:r w:rsidRPr="00CF796C">
        <w:rPr>
          <w:rFonts w:ascii="Times New Roman" w:hAnsi="Times New Roman" w:cs="Times New Roman"/>
        </w:rPr>
        <w:t>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w:t>
      </w:r>
    </w:p>
    <w:p w:rsidR="002750AC" w:rsidRPr="00CF796C" w:rsidRDefault="002750AC" w:rsidP="002750AC">
      <w:pPr>
        <w:pStyle w:val="ConsPlusNormal"/>
        <w:suppressAutoHyphens/>
        <w:ind w:firstLine="567"/>
        <w:jc w:val="both"/>
        <w:rPr>
          <w:rFonts w:ascii="Times New Roman" w:hAnsi="Times New Roman" w:cs="Times New Roman"/>
        </w:rPr>
      </w:pPr>
      <w:r w:rsidRPr="00CF796C">
        <w:rPr>
          <w:rFonts w:ascii="Times New Roman" w:hAnsi="Times New Roman" w:cs="Times New Roman"/>
        </w:rPr>
        <w:t xml:space="preserve">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w:t>
      </w:r>
      <w:r w:rsidRPr="00CF796C">
        <w:rPr>
          <w:rFonts w:ascii="Times New Roman" w:hAnsi="Times New Roman" w:cs="Times New Roman"/>
        </w:rPr>
        <w:br/>
        <w:t xml:space="preserve">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w:t>
      </w:r>
      <w:r w:rsidRPr="00CF796C">
        <w:rPr>
          <w:rFonts w:ascii="Times New Roman" w:hAnsi="Times New Roman" w:cs="Times New Roman"/>
        </w:rPr>
        <w:br/>
        <w:t>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2750AC" w:rsidRPr="00CF796C" w:rsidRDefault="002750AC" w:rsidP="002750AC">
      <w:pPr>
        <w:pStyle w:val="ConsPlusNormal"/>
        <w:suppressAutoHyphens/>
        <w:ind w:firstLine="567"/>
        <w:jc w:val="both"/>
        <w:rPr>
          <w:rFonts w:ascii="Times New Roman" w:hAnsi="Times New Roman" w:cs="Times New Roman"/>
        </w:rPr>
      </w:pPr>
      <w:r w:rsidRPr="00CF796C">
        <w:rPr>
          <w:rFonts w:ascii="Times New Roman" w:hAnsi="Times New Roman" w:cs="Times New Roman"/>
        </w:rPr>
        <w:t xml:space="preserve">В случае отсутствия указанных выше решений (актов), а также в случае, если сметная стоимость строительства, реконструкции объекта капитального строительства, указанная </w:t>
      </w:r>
      <w:r w:rsidRPr="00CF796C">
        <w:rPr>
          <w:rFonts w:ascii="Times New Roman" w:hAnsi="Times New Roman" w:cs="Times New Roman"/>
        </w:rPr>
        <w:br/>
        <w:t xml:space="preserve">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w:t>
      </w:r>
      <w:r w:rsidRPr="00CF796C">
        <w:rPr>
          <w:rFonts w:ascii="Times New Roman" w:hAnsi="Times New Roman" w:cs="Times New Roman"/>
        </w:rPr>
        <w:br/>
        <w:t xml:space="preserve">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w:t>
      </w:r>
      <w:r w:rsidRPr="00CF796C">
        <w:rPr>
          <w:rFonts w:ascii="Times New Roman" w:hAnsi="Times New Roman" w:cs="Times New Roman"/>
        </w:rPr>
        <w:br/>
        <w:t xml:space="preserve">50 процентов (для объектов, финансирование строительства, реконструкции которых </w:t>
      </w:r>
      <w:r w:rsidRPr="00CF796C">
        <w:rPr>
          <w:rFonts w:ascii="Times New Roman" w:hAnsi="Times New Roman" w:cs="Times New Roman"/>
        </w:rPr>
        <w:lastRenderedPageBreak/>
        <w:t xml:space="preserve">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w:t>
      </w:r>
      <w:r w:rsidRPr="00CF796C">
        <w:rPr>
          <w:rFonts w:ascii="Times New Roman" w:hAnsi="Times New Roman" w:cs="Times New Roman"/>
        </w:rPr>
        <w:br/>
        <w:t xml:space="preserve">(либо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CF796C">
        <w:rPr>
          <w:rFonts w:ascii="Times New Roman" w:hAnsi="Times New Roman" w:cs="Times New Roman"/>
        </w:rPr>
        <w:t>софинансирования</w:t>
      </w:r>
      <w:proofErr w:type="spellEnd"/>
      <w:r w:rsidRPr="00CF796C">
        <w:rPr>
          <w:rFonts w:ascii="Times New Roman" w:hAnsi="Times New Roman" w:cs="Times New Roman"/>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w:t>
      </w:r>
      <w:r w:rsidRPr="00CF796C">
        <w:rPr>
          <w:rFonts w:ascii="Times New Roman" w:hAnsi="Times New Roman" w:cs="Times New Roman"/>
        </w:rPr>
        <w:br/>
        <w:t>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E54E25" w:rsidRDefault="00E54E25"/>
    <w:sectPr w:rsidR="00E54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AC"/>
    <w:rsid w:val="002750AC"/>
    <w:rsid w:val="00E54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10041-AB14-438D-8C7B-881D62F0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50AC"/>
    <w:pPr>
      <w:widowControl w:val="0"/>
      <w:pBdr>
        <w:top w:val="nil"/>
        <w:left w:val="nil"/>
        <w:bottom w:val="nil"/>
        <w:right w:val="nil"/>
        <w:between w:val="nil"/>
      </w:pBdr>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character" w:customStyle="1" w:styleId="ConsPlusNormal0">
    <w:name w:val="ConsPlusNormal Знак"/>
    <w:link w:val="ConsPlusNormal"/>
    <w:rsid w:val="002750AC"/>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Ольга Юрьевна</dc:creator>
  <cp:keywords/>
  <dc:description/>
  <cp:lastModifiedBy>Александрова Ольга Юрьевна</cp:lastModifiedBy>
  <cp:revision>1</cp:revision>
  <dcterms:created xsi:type="dcterms:W3CDTF">2022-05-16T08:44:00Z</dcterms:created>
  <dcterms:modified xsi:type="dcterms:W3CDTF">2022-05-16T08:44:00Z</dcterms:modified>
</cp:coreProperties>
</file>